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55F" w:rsidRDefault="00B82CF9" w:rsidP="00B82CF9">
      <w:pPr>
        <w:rPr>
          <w:rFonts w:eastAsia="Times New Roman"/>
          <w:color w:val="auto"/>
        </w:rPr>
      </w:pPr>
      <w:r>
        <w:t xml:space="preserve">Mensagem nº 004/2017                             Itapuã D’Oeste RO </w:t>
      </w:r>
      <w:r w:rsidR="000E255F">
        <w:t>2</w:t>
      </w:r>
      <w:r>
        <w:t>3</w:t>
      </w:r>
      <w:r w:rsidR="000E255F">
        <w:t xml:space="preserve"> de Janeiro de 2017.</w:t>
      </w:r>
    </w:p>
    <w:p w:rsidR="000E255F" w:rsidRDefault="000E255F" w:rsidP="000E255F"/>
    <w:p w:rsidR="000E255F" w:rsidRDefault="000E255F" w:rsidP="000E255F">
      <w:pPr>
        <w:rPr>
          <w:b/>
        </w:rPr>
      </w:pPr>
      <w:r>
        <w:t xml:space="preserve">Exmo. Sr. </w:t>
      </w:r>
      <w:r>
        <w:rPr>
          <w:b/>
        </w:rPr>
        <w:t>Itamar Jose Felix</w:t>
      </w:r>
    </w:p>
    <w:p w:rsidR="000E255F" w:rsidRDefault="000E255F" w:rsidP="000E255F">
      <w:pPr>
        <w:rPr>
          <w:color w:val="auto"/>
        </w:rPr>
      </w:pPr>
      <w:r>
        <w:t>M.D. Presidente da Câmara Municipal.</w:t>
      </w:r>
    </w:p>
    <w:p w:rsidR="000E255F" w:rsidRDefault="000E255F" w:rsidP="000E255F">
      <w:pPr>
        <w:rPr>
          <w:bCs/>
          <w:iCs/>
        </w:rPr>
      </w:pPr>
      <w:r>
        <w:t>Itapuã do Oeste – RO</w:t>
      </w:r>
      <w:r>
        <w:rPr>
          <w:bCs/>
          <w:iCs/>
        </w:rPr>
        <w:t>.</w:t>
      </w:r>
    </w:p>
    <w:p w:rsidR="000E255F" w:rsidRDefault="000E255F" w:rsidP="000E255F">
      <w:pPr>
        <w:rPr>
          <w:b/>
          <w:color w:val="FF0000"/>
        </w:rPr>
      </w:pPr>
    </w:p>
    <w:p w:rsidR="000E255F" w:rsidRDefault="000E255F" w:rsidP="000E255F">
      <w:r>
        <w:rPr>
          <w:b/>
        </w:rPr>
        <w:t>Assunto</w:t>
      </w:r>
      <w:r w:rsidR="00B82CF9">
        <w:t xml:space="preserve">: </w:t>
      </w:r>
      <w:r>
        <w:t>Projeto de Lei</w:t>
      </w:r>
      <w:r>
        <w:rPr>
          <w:rStyle w:val="nfase"/>
        </w:rPr>
        <w:t xml:space="preserve">. </w:t>
      </w:r>
    </w:p>
    <w:p w:rsidR="000E255F" w:rsidRDefault="000E255F" w:rsidP="000E255F">
      <w:pPr>
        <w:pStyle w:val="Corpodetexto"/>
        <w:jc w:val="both"/>
        <w:rPr>
          <w:rFonts w:ascii="Arial" w:hAnsi="Arial" w:cs="Arial"/>
          <w:b/>
          <w:color w:val="000000"/>
        </w:rPr>
      </w:pPr>
    </w:p>
    <w:p w:rsidR="000E255F" w:rsidRPr="000E255F" w:rsidRDefault="00B82CF9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E255F">
        <w:rPr>
          <w:rFonts w:ascii="Arial" w:hAnsi="Arial" w:cs="Arial"/>
          <w:sz w:val="24"/>
          <w:szCs w:val="24"/>
        </w:rPr>
        <w:t xml:space="preserve">Cumprimentando Vossa Excelência, encaminho para a devida apreciação dessa insigne Casa de Leis o incluso projeto de Lei que </w:t>
      </w:r>
      <w:r w:rsidR="000E255F" w:rsidRPr="000E255F">
        <w:rPr>
          <w:rFonts w:ascii="Arial" w:hAnsi="Arial" w:cs="Arial"/>
          <w:bCs/>
          <w:sz w:val="24"/>
          <w:szCs w:val="24"/>
        </w:rPr>
        <w:t>“</w:t>
      </w:r>
      <w:r w:rsidR="000E255F" w:rsidRPr="000E255F">
        <w:rPr>
          <w:rFonts w:ascii="Arial" w:hAnsi="Arial" w:cs="Arial"/>
          <w:b/>
          <w:sz w:val="24"/>
          <w:szCs w:val="24"/>
        </w:rPr>
        <w:t>Dispõe sobre alteração do Código Tributário Municipal do Município de Itapuã D’ Oeste RO e dá outras providencias”.</w:t>
      </w:r>
    </w:p>
    <w:p w:rsidR="00B82CF9" w:rsidRDefault="00B82CF9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Esta propositura, oriunda do expediente administrativo, visa ajustar </w:t>
      </w:r>
      <w:r w:rsidR="00EF57EF">
        <w:rPr>
          <w:rFonts w:ascii="Arial" w:hAnsi="Arial" w:cs="Arial"/>
          <w:sz w:val="24"/>
          <w:szCs w:val="24"/>
        </w:rPr>
        <w:t>a legislação tributária local às alterações</w:t>
      </w:r>
      <w:r>
        <w:rPr>
          <w:rFonts w:ascii="Arial" w:hAnsi="Arial" w:cs="Arial"/>
          <w:sz w:val="24"/>
          <w:szCs w:val="24"/>
        </w:rPr>
        <w:t xml:space="preserve"> e normas editas a nível nacional até 2016.  </w:t>
      </w: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Preliminarmente, oportuno destacar que o ajuste a alterações de algumas normas em especial a legislação tributária regra matriz local para regular matérias dessa ordem, que se apresentava desde 2006 sem que houvesse alterações relevantes.</w:t>
      </w:r>
    </w:p>
    <w:p w:rsidR="00B82CF9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</w:p>
    <w:p w:rsidR="000E255F" w:rsidRDefault="00B82CF9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0E255F">
        <w:rPr>
          <w:rFonts w:ascii="Arial" w:hAnsi="Arial" w:cs="Arial"/>
          <w:iCs/>
          <w:sz w:val="24"/>
          <w:szCs w:val="24"/>
        </w:rPr>
        <w:t xml:space="preserve">Assim, elaboramos essas alterações que são relevantes no momento que  poderão  refletir de maneira </w:t>
      </w:r>
      <w:r w:rsidR="005B0A79">
        <w:rPr>
          <w:rFonts w:ascii="Arial" w:hAnsi="Arial" w:cs="Arial"/>
          <w:iCs/>
          <w:sz w:val="24"/>
          <w:szCs w:val="24"/>
        </w:rPr>
        <w:t>satisfatória no incremento da arrecadação tributária do município.</w:t>
      </w:r>
    </w:p>
    <w:p w:rsidR="00B82CF9" w:rsidRPr="005B0A79" w:rsidRDefault="00B82CF9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="005B0A79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Dessa forma, a presente medida – caso aprovada pelos Dignos Edis que compõem esta respeitável Casa – propiciará</w:t>
      </w:r>
      <w:r w:rsidR="005B0A79">
        <w:rPr>
          <w:rFonts w:ascii="Arial" w:hAnsi="Arial" w:cs="Arial"/>
          <w:color w:val="000000"/>
          <w:sz w:val="24"/>
          <w:szCs w:val="24"/>
        </w:rPr>
        <w:t xml:space="preserve"> ao longo do tempo melhoria na logística da gestão tributaria e o incremento da receita tributária para investimento na qualidade de vida da população local.</w:t>
      </w:r>
    </w:p>
    <w:p w:rsidR="00B82CF9" w:rsidRDefault="00B82CF9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Assim, o inclu</w:t>
      </w:r>
      <w:r w:rsidR="005B0A79">
        <w:rPr>
          <w:rFonts w:ascii="Arial" w:hAnsi="Arial" w:cs="Arial"/>
          <w:sz w:val="24"/>
          <w:szCs w:val="24"/>
        </w:rPr>
        <w:t>so projeto de lei versa sobre a inclusão de novas alteração relativo ao ISS introduzidas por Lei</w:t>
      </w:r>
      <w:r w:rsidR="002932D5">
        <w:rPr>
          <w:rFonts w:ascii="Arial" w:hAnsi="Arial" w:cs="Arial"/>
          <w:sz w:val="24"/>
          <w:szCs w:val="24"/>
        </w:rPr>
        <w:t xml:space="preserve"> Complementar</w:t>
      </w:r>
      <w:r w:rsidR="005B0A79">
        <w:rPr>
          <w:rFonts w:ascii="Arial" w:hAnsi="Arial" w:cs="Arial"/>
          <w:sz w:val="24"/>
          <w:szCs w:val="24"/>
        </w:rPr>
        <w:t xml:space="preserve"> Federal que devem ser adequadas a legislação local, ITBI ajustando forma de lançamento e multas de mora</w:t>
      </w:r>
      <w:r>
        <w:rPr>
          <w:rFonts w:ascii="Arial" w:hAnsi="Arial" w:cs="Arial"/>
          <w:sz w:val="24"/>
          <w:szCs w:val="24"/>
        </w:rPr>
        <w:t xml:space="preserve"> incidentes sobre débitos de qualquer natureza </w:t>
      </w: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255F" w:rsidRDefault="000E255F" w:rsidP="00B82CF9">
      <w:pPr>
        <w:pStyle w:val="Corpodetexto2"/>
        <w:tabs>
          <w:tab w:val="left" w:pos="993"/>
          <w:tab w:val="left" w:pos="25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 xml:space="preserve">Em face da relevância da medida proposta, de justo, real e legítimo interesse público e pelos motivos expostos, solicito que a sua apreciação se faça em </w:t>
      </w:r>
      <w:r>
        <w:rPr>
          <w:rFonts w:ascii="Arial" w:hAnsi="Arial" w:cs="Arial"/>
          <w:b/>
        </w:rPr>
        <w:t>regime de urgência</w:t>
      </w:r>
      <w:r>
        <w:rPr>
          <w:rFonts w:ascii="Arial" w:hAnsi="Arial" w:cs="Arial"/>
        </w:rPr>
        <w:t xml:space="preserve">, na forma das disposições constantes da Lei Orgânica do </w:t>
      </w:r>
      <w:r w:rsidR="005B0A79">
        <w:rPr>
          <w:rFonts w:ascii="Arial" w:hAnsi="Arial" w:cs="Arial"/>
        </w:rPr>
        <w:t>Município,</w:t>
      </w:r>
      <w:r>
        <w:rPr>
          <w:rFonts w:ascii="Arial" w:hAnsi="Arial" w:cs="Arial"/>
        </w:rPr>
        <w:t xml:space="preserve"> plenamente justificada, de modo a possibilitar o desenvolvimento da Administração Pública.</w:t>
      </w:r>
    </w:p>
    <w:p w:rsidR="000E255F" w:rsidRDefault="000E255F" w:rsidP="00B82CF9">
      <w:pPr>
        <w:pStyle w:val="Corpodetexto3"/>
        <w:tabs>
          <w:tab w:val="left" w:pos="993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0E255F" w:rsidRDefault="000E255F" w:rsidP="00B82CF9">
      <w:pPr>
        <w:pStyle w:val="Corpodetexto2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Ante o exposto, coloco-me à inteira disposição dessa lídima Presidência para quaisquer outros esclarecimentos que se fizerem necessários, renovando, ao ensejo, os protestos de minha elevada consideraç</w:t>
      </w:r>
      <w:bookmarkStart w:id="0" w:name="_GoBack"/>
      <w:bookmarkEnd w:id="0"/>
      <w:r>
        <w:rPr>
          <w:rFonts w:ascii="Arial" w:hAnsi="Arial" w:cs="Arial"/>
        </w:rPr>
        <w:t>ão e declarado respeito.</w:t>
      </w:r>
    </w:p>
    <w:p w:rsidR="00B82CF9" w:rsidRDefault="005B0A79" w:rsidP="00B82CF9">
      <w:pPr>
        <w:pStyle w:val="Corpodetexto3"/>
        <w:tabs>
          <w:tab w:val="left" w:pos="2977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255F" w:rsidRDefault="005B0A79" w:rsidP="00B82CF9">
      <w:pPr>
        <w:pStyle w:val="Corpodetexto3"/>
        <w:tabs>
          <w:tab w:val="left" w:pos="2977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Itapuã D’Oeste RO, 17</w:t>
      </w:r>
      <w:r w:rsidR="000E255F">
        <w:rPr>
          <w:rFonts w:ascii="Arial" w:hAnsi="Arial" w:cs="Arial"/>
          <w:sz w:val="24"/>
          <w:szCs w:val="24"/>
        </w:rPr>
        <w:t xml:space="preserve"> de Janeiro de 2017.</w:t>
      </w:r>
    </w:p>
    <w:p w:rsidR="00EF57EF" w:rsidRDefault="0080674F" w:rsidP="0080674F">
      <w:pPr>
        <w:spacing w:after="0" w:line="259" w:lineRule="auto"/>
        <w:ind w:left="-5" w:right="0"/>
        <w:jc w:val="center"/>
        <w:rPr>
          <w:b/>
        </w:rPr>
      </w:pPr>
      <w:r>
        <w:rPr>
          <w:noProof/>
          <w:szCs w:val="24"/>
        </w:rPr>
        <w:drawing>
          <wp:inline distT="0" distB="0" distL="0" distR="0" wp14:anchorId="2325F36F" wp14:editId="01F8AB6A">
            <wp:extent cx="1914908" cy="923925"/>
            <wp:effectExtent l="0" t="0" r="0" b="0"/>
            <wp:docPr id="1" name="Imagem 1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61" cy="92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4B" w:rsidRDefault="00E66A47" w:rsidP="00460F23">
      <w:pPr>
        <w:spacing w:after="0" w:line="240" w:lineRule="auto"/>
        <w:ind w:left="-5" w:right="0"/>
        <w:jc w:val="left"/>
      </w:pPr>
      <w:r>
        <w:rPr>
          <w:b/>
        </w:rPr>
        <w:lastRenderedPageBreak/>
        <w:t xml:space="preserve">LEI COMPLEMENTAR </w:t>
      </w:r>
      <w:r w:rsidR="006D147E">
        <w:rPr>
          <w:b/>
        </w:rPr>
        <w:t xml:space="preserve">Nº </w:t>
      </w:r>
      <w:r w:rsidR="00B82CF9">
        <w:rPr>
          <w:b/>
        </w:rPr>
        <w:t>____/2017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Pr="00B82CF9" w:rsidRDefault="006D147E" w:rsidP="00460F23">
      <w:pPr>
        <w:spacing w:after="0" w:line="240" w:lineRule="auto"/>
        <w:ind w:left="3969" w:right="49"/>
        <w:rPr>
          <w:sz w:val="22"/>
        </w:rPr>
      </w:pPr>
      <w:r w:rsidRPr="00B82CF9">
        <w:t>Dispõe sobre altera</w:t>
      </w:r>
      <w:r w:rsidR="000E255F" w:rsidRPr="00B82CF9">
        <w:t xml:space="preserve">ção </w:t>
      </w:r>
      <w:r w:rsidRPr="00B82CF9">
        <w:t xml:space="preserve">do Código Tributário Municipal do Município de Itapuã D’ Oeste RO e dá outras providencias. </w:t>
      </w:r>
    </w:p>
    <w:p w:rsidR="009E434B" w:rsidRDefault="009E434B" w:rsidP="00460F23">
      <w:pPr>
        <w:spacing w:after="0" w:line="240" w:lineRule="auto"/>
        <w:ind w:left="2341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 xml:space="preserve">O Prefeito do Município de Itapuã do Oeste/RO, no uso de suas atribuições que lhe são conferidas por lei, faz saber que a Câmara Municipal aprovou e ele sanciona a seguinte 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>Lei</w:t>
      </w:r>
      <w:r w:rsidR="00E66A47">
        <w:t xml:space="preserve"> Complementar</w:t>
      </w:r>
      <w:r>
        <w:t xml:space="preserve">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t>Art. 1°</w:t>
      </w:r>
      <w:r>
        <w:t xml:space="preserve"> - O item I e § único do art. 70 do CTM passam a ter a seguinte redação: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 xml:space="preserve">“I – Multa de mora, será calculada sobre o valor corrigido do tributo , a razão de 0,33% ao dia limitado a 20%.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 xml:space="preserve">“§ único – A correção monetária será calculada com base na variação da UFM.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t xml:space="preserve">Art. 2° - </w:t>
      </w:r>
      <w:r>
        <w:t xml:space="preserve">Os itens 7.2, 7.4, 7.5, 7.14, 7.19, 7.20 da tabela do art. 129 do CTM serão tributados a alíquota de 5% sobre o valor dos serviços.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t xml:space="preserve">Art. 3° - </w:t>
      </w:r>
      <w:r>
        <w:t xml:space="preserve">Os itens 1.1, 1.2 e 1.4 da tabela do art. 129 do CTM serão tributados a alíquota de 2% sobre o valor dos serviços.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right="50" w:firstLine="274"/>
      </w:pPr>
      <w:r>
        <w:rPr>
          <w:b/>
        </w:rPr>
        <w:t xml:space="preserve">Art. 4° - </w:t>
      </w:r>
      <w:r>
        <w:t xml:space="preserve">O§ 1°do art. 150 do CTM passa a ter a seguinte redação: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 xml:space="preserve">“§ 1° - Na prestação de serviços a que se referem os itens 7.2 e 7.5 da lista, poderá ser deduzido da base de </w:t>
      </w:r>
      <w:r w:rsidR="00E66A47">
        <w:t>cálculo</w:t>
      </w:r>
      <w:r>
        <w:t xml:space="preserve"> do imposto os valores correspondentes ao fornecimento de mercadorias produzidas pelo prestador fora do local da prestação de serviços até o limite de 30% desde que cumprida as exigências seguintes: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numPr>
          <w:ilvl w:val="0"/>
          <w:numId w:val="6"/>
        </w:numPr>
        <w:spacing w:after="0" w:line="240" w:lineRule="auto"/>
        <w:ind w:right="50" w:hanging="260"/>
      </w:pPr>
      <w:r>
        <w:t xml:space="preserve">– Apresentar cópia do projeto, acompanhado do memorial descritivo, incluindo planilha de custos; </w:t>
      </w:r>
    </w:p>
    <w:p w:rsidR="009E434B" w:rsidRDefault="006D147E" w:rsidP="00460F23">
      <w:pPr>
        <w:numPr>
          <w:ilvl w:val="0"/>
          <w:numId w:val="6"/>
        </w:numPr>
        <w:spacing w:after="0" w:line="240" w:lineRule="auto"/>
        <w:ind w:right="50" w:hanging="260"/>
      </w:pPr>
      <w:r>
        <w:t xml:space="preserve">– Notas fiscais dos produtos empregados na obra, desde que as Nfs tenham como endereço o local da prestação dos serviços;  </w:t>
      </w:r>
    </w:p>
    <w:p w:rsidR="009E434B" w:rsidRDefault="006D147E" w:rsidP="00460F23">
      <w:pPr>
        <w:numPr>
          <w:ilvl w:val="0"/>
          <w:numId w:val="6"/>
        </w:numPr>
        <w:spacing w:after="0" w:line="240" w:lineRule="auto"/>
        <w:ind w:right="50" w:hanging="260"/>
      </w:pPr>
      <w:r>
        <w:t xml:space="preserve">– Cópia do Processo licitatório em caso de obra pública.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65"/>
      </w:pPr>
      <w:r>
        <w:rPr>
          <w:b/>
        </w:rPr>
        <w:t xml:space="preserve">Art. 5° </w:t>
      </w:r>
      <w:r>
        <w:t xml:space="preserve">- As </w:t>
      </w:r>
      <w:r w:rsidR="006C7F47">
        <w:t>pessoas jurídicas enquadradas</w:t>
      </w:r>
      <w:r>
        <w:t xml:space="preserve"> no regime simples nacional</w:t>
      </w:r>
      <w:r w:rsidR="006C7F47">
        <w:t xml:space="preserve"> e MEI</w:t>
      </w:r>
      <w:r>
        <w:t xml:space="preserve">, não farão juz a dedução de que trata o § 1° do art. 150, por ter tratamento diferenciado pelo regime tributário optante.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65"/>
      </w:pPr>
      <w:r>
        <w:rPr>
          <w:b/>
        </w:rPr>
        <w:t xml:space="preserve">Art. 6° - </w:t>
      </w:r>
      <w:r>
        <w:t xml:space="preserve">O município regulamentará por decreto as regras pertinentes a obrigações acessórias, estabelecer tratamento diferenciado e de recolhimento dos impostos para os estabelecimentos optantes pelo simples nacional no âmbito do município na forma da lei 123 de 14 de dezembro de 2006, alterações posteriores e das resoluções do conselho gestor do simples nacional.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>Único: poderá o município fazer convênio de cooperação com RFB – Receita Federal do Brasil e Governo do Estado de Rondônia</w:t>
      </w:r>
      <w:r w:rsidR="006C7F47">
        <w:t xml:space="preserve"> ou entidades privadas nos termos da lei Federal13019/14</w:t>
      </w:r>
      <w:r>
        <w:t xml:space="preserve">, com intuito de melhorar </w:t>
      </w:r>
      <w:r w:rsidR="006C7F47">
        <w:t xml:space="preserve">logística de </w:t>
      </w:r>
      <w:r w:rsidR="00AE1B27">
        <w:t>cobrança, arrecadação</w:t>
      </w:r>
      <w:r>
        <w:t xml:space="preserve"> e fiscalização dos tributos.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lastRenderedPageBreak/>
        <w:t xml:space="preserve">Art. 7° - </w:t>
      </w:r>
      <w:r>
        <w:t xml:space="preserve">O art. 166 do CTM passa a ter a seguinte redação: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>“art. 166</w:t>
      </w:r>
      <w:r w:rsidR="00A448D2">
        <w:t xml:space="preserve"> </w:t>
      </w:r>
      <w:r>
        <w:t xml:space="preserve">- A base de </w:t>
      </w:r>
      <w:r w:rsidR="00E66A47">
        <w:t>cálculo</w:t>
      </w:r>
      <w:r>
        <w:t xml:space="preserve"> é o valor dos bens ou direitos transmitidos, constantes do documento relativo ao negócio jurídico.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t xml:space="preserve">Art. 8° - </w:t>
      </w:r>
      <w:r>
        <w:t xml:space="preserve">O § único e acrescenta os itens I, II e III , art. 168 do CTM passa a ter a seguinte redação: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/>
      </w:pPr>
      <w:r>
        <w:t>“§ único – A atribuição do valor do imóvel ou dos direitos para efeitos fiscais, dar-se a no ato da apresentação do documento declaratório de lançamento requerido pelo contribuinte, do qua</w:t>
      </w:r>
      <w:r w:rsidR="00E66A47">
        <w:t>l o fisco terá prazo de até 48 h</w:t>
      </w:r>
      <w:r>
        <w:t xml:space="preserve">s para emissão da guia de recolhimento. </w:t>
      </w:r>
    </w:p>
    <w:p w:rsidR="009E434B" w:rsidRDefault="006D147E" w:rsidP="00460F23">
      <w:pPr>
        <w:numPr>
          <w:ilvl w:val="0"/>
          <w:numId w:val="7"/>
        </w:numPr>
        <w:spacing w:after="0" w:line="240" w:lineRule="auto"/>
        <w:ind w:right="50"/>
      </w:pPr>
      <w:r>
        <w:t xml:space="preserve">– O fisco identificando que na declaração entregue pelo contribuinte para fins de lançamento do imposto foi </w:t>
      </w:r>
      <w:r w:rsidR="00E66A47">
        <w:t>subavaliada</w:t>
      </w:r>
      <w:r>
        <w:t xml:space="preserve">, poderá este atribuir base de </w:t>
      </w:r>
      <w:r w:rsidR="00AE1B27">
        <w:t>cálculo</w:t>
      </w:r>
      <w:r>
        <w:t xml:space="preserve"> para efeitos fiscais dentro dos valores de mercado apurado na data do lançamento;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numPr>
          <w:ilvl w:val="0"/>
          <w:numId w:val="7"/>
        </w:numPr>
        <w:spacing w:after="0" w:line="240" w:lineRule="auto"/>
        <w:ind w:right="50"/>
      </w:pPr>
      <w:r>
        <w:t xml:space="preserve">– O contribuinte não concordando com valor lançado pelo fisco poderá apresentar laudo elaborado por técnico devidamente habilitado em até 10 dias a contar da notificação fiscal de lançamento, demonstrado o valor real do bem ou direito transmitido para fins de lançamento do imposto, após apresentação do laudo o fisco terá prazo de 72 hspra se manifestar e apresentar contra razão, caso necessário. </w:t>
      </w:r>
    </w:p>
    <w:p w:rsidR="009E434B" w:rsidRDefault="006D147E" w:rsidP="00460F23">
      <w:pPr>
        <w:spacing w:after="0" w:line="240" w:lineRule="auto"/>
        <w:ind w:left="0" w:right="0" w:firstLine="0"/>
        <w:jc w:val="left"/>
      </w:pPr>
      <w:r>
        <w:tab/>
      </w:r>
    </w:p>
    <w:p w:rsidR="009E434B" w:rsidRDefault="006D147E" w:rsidP="00460F23">
      <w:pPr>
        <w:numPr>
          <w:ilvl w:val="0"/>
          <w:numId w:val="7"/>
        </w:numPr>
        <w:spacing w:after="0" w:line="240" w:lineRule="auto"/>
        <w:ind w:right="50"/>
      </w:pPr>
      <w:r>
        <w:t xml:space="preserve">– O fisco poderá utilizar-se para fins de aferição e apuração da base de calculo para fins de apuração do ITBI, quando o contribuinte subavaliar o valor declarado os seguintes dados: os cadastrais no âmbito do município desde que atualizados, os preços praticados no mercado local, tabelas de balizamento editadas pelo município de valores mínimos atribuídos para lançamento do imposto e de outros documentos que possam subsidiar o lançamento.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AF50A3" w:rsidRDefault="006D147E" w:rsidP="00460F23">
      <w:pPr>
        <w:spacing w:after="0" w:line="240" w:lineRule="auto"/>
        <w:ind w:left="0" w:right="0" w:firstLine="284"/>
        <w:jc w:val="left"/>
        <w:rPr>
          <w:b/>
          <w:color w:val="auto"/>
        </w:rPr>
      </w:pPr>
      <w:r>
        <w:rPr>
          <w:b/>
        </w:rPr>
        <w:t xml:space="preserve">Art. </w:t>
      </w:r>
      <w:r w:rsidR="00F8083A">
        <w:rPr>
          <w:b/>
        </w:rPr>
        <w:t>9</w:t>
      </w:r>
      <w:r>
        <w:rPr>
          <w:b/>
        </w:rPr>
        <w:t xml:space="preserve">° - </w:t>
      </w:r>
      <w:r w:rsidR="00AF50A3">
        <w:rPr>
          <w:b/>
          <w:color w:val="auto"/>
        </w:rPr>
        <w:t xml:space="preserve">Da nova redação ao art. 130 </w:t>
      </w:r>
      <w:r w:rsidR="00825808">
        <w:rPr>
          <w:b/>
          <w:color w:val="auto"/>
        </w:rPr>
        <w:t>incluindo seus incisos e parágrafos do CTM: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b/>
          <w:szCs w:val="24"/>
        </w:rPr>
        <w:t>“</w:t>
      </w:r>
      <w:r w:rsidRPr="00AF50A3">
        <w:rPr>
          <w:rFonts w:eastAsia="Times New Roman"/>
          <w:b/>
          <w:szCs w:val="24"/>
        </w:rPr>
        <w:t>Art. 130</w:t>
      </w:r>
      <w:r w:rsidRPr="00AF50A3">
        <w:rPr>
          <w:rFonts w:eastAsia="Times New Roman"/>
          <w:b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 O serviço considera-se prestado, e o imposto, devido, no local do estabelecimento prestador ou, na falta do estabelecimento, no local do domicílio do prestador, exceto nas hipóteses previstas nos incisos I a XXV, quando o imposto será devido no local: 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I – do estabelecimento do tomador ou intermediário do serviço ou, na falta de estabelecimento, onde ele estiver domiciliado, na hipótese do § 1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do art. 1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desta Lei Complementar;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II – da instalação dos andaimes, palcos, coberturas e outras estruturas, no caso dos serviços descritos no subitem 3.05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III – da execução da obra, no caso dos serviços descritos no subitem 7.02 e 7.19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IV – da demolição, no caso dos serviços descritos no subitem 7.04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V – das edificações em geral, estradas, pontes, portos e congêneres, no caso dos serviços descritos no subitem 7.05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VI – da execução da varrição, coleta, remoção, incineração, tratamento, reciclagem, separação e destinação final de lixo, rejeitos e outros resíduos quaisquer, no caso dos serviços descritos no subitem 7.09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VII – da execução da limpeza, manutenção e conservação de vias e logradouros públicos, imóveis, chaminés, piscinas, parques, jardins e congêneres, no caso dos serviços descritos no subitem 7.10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VIII – da execução da decoração e jardinagem, do corte e poda de árvores, no caso dos serviços descritos no subitem 7.11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lastRenderedPageBreak/>
        <w:t>IX – do controle e tratamento do efluente de qualquer natureza e de agentes físicos, químicos e biológicos, no caso dos serviços descritos no subitem 7.12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bookmarkStart w:id="1" w:name="art3xii"/>
      <w:bookmarkEnd w:id="1"/>
      <w:r>
        <w:rPr>
          <w:rFonts w:eastAsia="Times New Roman"/>
          <w:szCs w:val="24"/>
        </w:rPr>
        <w:t>X</w:t>
      </w:r>
      <w:r w:rsidRPr="00AF50A3">
        <w:rPr>
          <w:rFonts w:eastAsia="Times New Roman"/>
          <w:szCs w:val="24"/>
        </w:rPr>
        <w:t xml:space="preserve"> - do florestamento, reflorestamento, semeadura, adubação, reparação de solo, plantio, silagem, colheita, corte, descascamento de árvores, silvicultura, exploração florestal e serviços congêneres indissociáveis da formação, manutenção e colheita de florestas para quaisquer fins e por quaisquer meios; 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szCs w:val="24"/>
        </w:rPr>
        <w:t>XI</w:t>
      </w:r>
      <w:r w:rsidRPr="00AF50A3">
        <w:rPr>
          <w:rFonts w:eastAsia="Times New Roman"/>
          <w:szCs w:val="24"/>
        </w:rPr>
        <w:t xml:space="preserve"> – da execução dos serviços de escoramento, contenção de encostas e congêneres, no caso dos serviços descritos no subitem 7.17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szCs w:val="24"/>
        </w:rPr>
        <w:t>XII</w:t>
      </w:r>
      <w:r w:rsidRPr="00AF50A3">
        <w:rPr>
          <w:rFonts w:eastAsia="Times New Roman"/>
          <w:szCs w:val="24"/>
        </w:rPr>
        <w:t xml:space="preserve"> – da limpeza e dragagem, no caso dos serviços descritos no subitem 7.18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X</w:t>
      </w:r>
      <w:r>
        <w:rPr>
          <w:rFonts w:eastAsia="Times New Roman"/>
          <w:szCs w:val="24"/>
        </w:rPr>
        <w:t>III</w:t>
      </w:r>
      <w:r w:rsidRPr="00AF50A3">
        <w:rPr>
          <w:rFonts w:eastAsia="Times New Roman"/>
          <w:szCs w:val="24"/>
        </w:rPr>
        <w:t xml:space="preserve"> – onde o bem estiver guardado ou estacionado, no caso dos serviços descritos no subitem 11.01 da lista anexa;</w:t>
      </w:r>
    </w:p>
    <w:p w:rsidR="00AF50A3" w:rsidRDefault="00AF50A3" w:rsidP="00460F23">
      <w:pPr>
        <w:spacing w:after="0" w:line="240" w:lineRule="auto"/>
        <w:ind w:left="0" w:right="0" w:firstLine="525"/>
        <w:rPr>
          <w:rFonts w:eastAsia="Times New Roman"/>
          <w:szCs w:val="24"/>
        </w:rPr>
      </w:pPr>
      <w:bookmarkStart w:id="2" w:name="art3xvi"/>
      <w:bookmarkEnd w:id="2"/>
      <w:r w:rsidRPr="00AF50A3">
        <w:rPr>
          <w:rFonts w:eastAsia="Times New Roman"/>
          <w:szCs w:val="24"/>
        </w:rPr>
        <w:t>X</w:t>
      </w:r>
      <w:r>
        <w:rPr>
          <w:rFonts w:eastAsia="Times New Roman"/>
          <w:szCs w:val="24"/>
        </w:rPr>
        <w:t>IV</w:t>
      </w:r>
      <w:r w:rsidRPr="00AF50A3">
        <w:rPr>
          <w:rFonts w:eastAsia="Times New Roman"/>
          <w:szCs w:val="24"/>
        </w:rPr>
        <w:t xml:space="preserve"> - dos bens, dos semoventes ou do domicílio das pessoas vigiados, segurados ou monitorados, no caso dos serviços descritos no subitem 11.02 da lista anexa; 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 xml:space="preserve"> XVI – do armazenamento, depósito, carga, descarga, arrumação e guarda do bem, no caso dos serviços descritos no subitem 11.04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XVII – da execução dos serviços de diversão, lazer, entretenimento e congêneres, no caso dos serviços descritos nos subitens do item 12, exceto o 12.13,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bookmarkStart w:id="3" w:name="art3xix"/>
      <w:bookmarkEnd w:id="3"/>
      <w:r>
        <w:rPr>
          <w:rFonts w:eastAsia="Times New Roman"/>
          <w:szCs w:val="24"/>
        </w:rPr>
        <w:t>XVIII</w:t>
      </w:r>
      <w:r w:rsidRPr="00AF50A3">
        <w:rPr>
          <w:rFonts w:eastAsia="Times New Roman"/>
          <w:szCs w:val="24"/>
        </w:rPr>
        <w:t xml:space="preserve"> - do Município onde está sendo executado o transporte, no caso dos serviços descritos pelo item 16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X</w:t>
      </w:r>
      <w:r>
        <w:rPr>
          <w:rFonts w:eastAsia="Times New Roman"/>
          <w:szCs w:val="24"/>
        </w:rPr>
        <w:t>I</w:t>
      </w:r>
      <w:r w:rsidRPr="00AF50A3">
        <w:rPr>
          <w:rFonts w:eastAsia="Times New Roman"/>
          <w:szCs w:val="24"/>
        </w:rPr>
        <w:t>X – do estabelecimento do tomador da mão-de-obra ou, na falta de estabelecimento, onde ele estiver domiciliado, no caso dos serviços descritos pelo subitem 17.05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szCs w:val="24"/>
        </w:rPr>
        <w:t xml:space="preserve">XX </w:t>
      </w:r>
      <w:r w:rsidRPr="00AF50A3">
        <w:rPr>
          <w:rFonts w:eastAsia="Times New Roman"/>
          <w:szCs w:val="24"/>
        </w:rPr>
        <w:t>– da feira, exposição, congresso ou congênere a que se referir o planejamento, organização e administração, no caso dos serviços descritos pelo subitem 17.10 da lista anexa;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szCs w:val="24"/>
        </w:rPr>
        <w:t>XXI</w:t>
      </w:r>
      <w:r w:rsidRPr="00AF50A3">
        <w:rPr>
          <w:rFonts w:eastAsia="Times New Roman"/>
          <w:szCs w:val="24"/>
        </w:rPr>
        <w:t xml:space="preserve"> – do porto, aeroporto, ferroporto, terminal rodoviário, ferroviário ou metroviário, no caso dos serviços descritos pelo item 20 da lista anexa.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bookmarkStart w:id="4" w:name="art3xxiii"/>
      <w:bookmarkEnd w:id="4"/>
      <w:r w:rsidRPr="00AF50A3">
        <w:rPr>
          <w:rFonts w:eastAsia="Times New Roman"/>
          <w:szCs w:val="24"/>
        </w:rPr>
        <w:t>§ 1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No caso dos serviços a que se refere o subitem 3.04 da lista anexa, considera-se ocorrido o fato gerador e devido o imposto em cada Município em cujo território haja extensão de ferrovia, rodovia, postes, cabos, dutos e condutos de qualquer natureza, objetos de locação, sublocação, arrendamento, direito de passagem ou permissão de uso, compartilhado ou não.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§ 2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No caso dos serviços a que se refere o subitem 22.01 da lista anexa, considera-se ocorrido o fato gerador e devido o imposto em cada Município em cujo território haja extensão de rodovia explorada.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r w:rsidRPr="00AF50A3">
        <w:rPr>
          <w:rFonts w:eastAsia="Times New Roman"/>
          <w:szCs w:val="24"/>
        </w:rPr>
        <w:t>§</w:t>
      </w:r>
      <w:r w:rsidR="00A448D2">
        <w:rPr>
          <w:rFonts w:eastAsia="Times New Roman"/>
          <w:szCs w:val="24"/>
        </w:rPr>
        <w:t xml:space="preserve"> </w:t>
      </w:r>
      <w:r w:rsidRPr="00AF50A3">
        <w:rPr>
          <w:rFonts w:eastAsia="Times New Roman"/>
          <w:szCs w:val="24"/>
        </w:rPr>
        <w:t>3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</w:t>
      </w:r>
      <w:bookmarkStart w:id="5" w:name="art3§4"/>
      <w:bookmarkStart w:id="6" w:name="art4"/>
      <w:bookmarkEnd w:id="5"/>
      <w:bookmarkEnd w:id="6"/>
      <w:r w:rsidRPr="00AF50A3">
        <w:rPr>
          <w:rFonts w:eastAsia="Times New Roman"/>
          <w:szCs w:val="24"/>
        </w:rPr>
        <w:t> Considera-se estabelecimento prestador o local onde o contribuinte desenvolva a atividade de prestar serviços, de modo permanente ou temporário, e que configure unidade econômica ou profissional, sendo irrelevantes para caracterizá-lo as denominações de sede, filial, agência, posto de atendimento, sucursal, escritório de representação ou contato ou quaisquer outras que venham a ser utilizadas.</w:t>
      </w:r>
    </w:p>
    <w:p w:rsidR="00AF50A3" w:rsidRPr="00AF50A3" w:rsidRDefault="00AF50A3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bookmarkStart w:id="7" w:name="art5"/>
      <w:bookmarkEnd w:id="7"/>
      <w:r w:rsidRPr="00AF50A3">
        <w:rPr>
          <w:rFonts w:eastAsia="Times New Roman"/>
          <w:szCs w:val="24"/>
        </w:rPr>
        <w:t>§</w:t>
      </w:r>
      <w:r w:rsidR="00A448D2">
        <w:rPr>
          <w:rFonts w:eastAsia="Times New Roman"/>
          <w:szCs w:val="24"/>
        </w:rPr>
        <w:t xml:space="preserve">   </w:t>
      </w:r>
      <w:r>
        <w:rPr>
          <w:rFonts w:eastAsia="Times New Roman"/>
          <w:szCs w:val="24"/>
        </w:rPr>
        <w:t>4</w:t>
      </w:r>
      <w:r w:rsidRPr="00AF50A3">
        <w:rPr>
          <w:rFonts w:eastAsia="Times New Roman"/>
          <w:szCs w:val="24"/>
          <w:u w:val="single"/>
          <w:vertAlign w:val="superscript"/>
        </w:rPr>
        <w:t>o</w:t>
      </w:r>
      <w:r w:rsidRPr="00AF50A3">
        <w:rPr>
          <w:rFonts w:eastAsia="Times New Roman"/>
          <w:szCs w:val="24"/>
        </w:rPr>
        <w:t>  Contribuinte é o prestador do serviço.</w:t>
      </w:r>
    </w:p>
    <w:p w:rsidR="00AF50A3" w:rsidRPr="00AF50A3" w:rsidRDefault="00A448D2" w:rsidP="00460F23">
      <w:pPr>
        <w:spacing w:after="0" w:line="240" w:lineRule="auto"/>
        <w:ind w:left="0" w:right="0" w:firstLine="525"/>
        <w:rPr>
          <w:rFonts w:ascii="Times New Roman" w:eastAsia="Times New Roman" w:hAnsi="Times New Roman" w:cs="Times New Roman"/>
          <w:szCs w:val="24"/>
        </w:rPr>
      </w:pPr>
      <w:bookmarkStart w:id="8" w:name="art6"/>
      <w:bookmarkEnd w:id="8"/>
      <w:r>
        <w:rPr>
          <w:rFonts w:eastAsia="Times New Roman"/>
          <w:szCs w:val="24"/>
        </w:rPr>
        <w:t xml:space="preserve">§ </w:t>
      </w:r>
      <w:r w:rsidR="00547D81">
        <w:rPr>
          <w:rFonts w:eastAsia="Times New Roman"/>
          <w:szCs w:val="24"/>
        </w:rPr>
        <w:t>5</w:t>
      </w:r>
      <w:r w:rsidR="00547D81" w:rsidRPr="00AF50A3">
        <w:rPr>
          <w:rFonts w:eastAsia="Times New Roman"/>
          <w:szCs w:val="24"/>
          <w:u w:val="single"/>
          <w:vertAlign w:val="superscript"/>
        </w:rPr>
        <w:t>o</w:t>
      </w:r>
      <w:r w:rsidR="00547D81" w:rsidRPr="00AF50A3">
        <w:rPr>
          <w:rFonts w:eastAsia="Times New Roman"/>
          <w:szCs w:val="24"/>
        </w:rPr>
        <w:t> </w:t>
      </w:r>
      <w:r w:rsidR="00AF50A3" w:rsidRPr="00AF50A3">
        <w:rPr>
          <w:rFonts w:eastAsia="Times New Roman"/>
          <w:szCs w:val="24"/>
        </w:rPr>
        <w:t>O Município mediante lei, poderão atribuir de modo expresso a responsabilidade pelo crédito tributário a terceira pessoa, vinculada ao fato gerador da respectiva obrigação, excluindo a responsabilidade do contribuinte ou atribuindo-a a este em caráter supletivo do cumprimento total ou parcial da referida obrigação, inclusive no que se refere à multa e aos acréscimos legais.</w:t>
      </w:r>
    </w:p>
    <w:p w:rsidR="00AF50A3" w:rsidRPr="00547D81" w:rsidRDefault="00547D81" w:rsidP="00460F2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/>
          <w:szCs w:val="24"/>
        </w:rPr>
        <w:t xml:space="preserve">I - </w:t>
      </w:r>
      <w:r w:rsidR="00AF50A3" w:rsidRPr="00547D81">
        <w:rPr>
          <w:rFonts w:eastAsia="Times New Roman"/>
          <w:szCs w:val="24"/>
        </w:rPr>
        <w:t>Os responsáveis a que se refere este artigo estão obrigados ao recolhimento integral do imposto devido, multa e acréscimos legais, independentemente de ter sido efetuada sua retenção na fonte.</w:t>
      </w:r>
    </w:p>
    <w:p w:rsidR="00AF50A3" w:rsidRPr="00AF50A3" w:rsidRDefault="00547D81" w:rsidP="00460F23">
      <w:pPr>
        <w:spacing w:after="0" w:line="240" w:lineRule="auto"/>
        <w:ind w:left="0" w:right="0" w:firstLine="0"/>
        <w:rPr>
          <w:rFonts w:ascii="Times New Roman" w:eastAsia="Times New Roman" w:hAnsi="Times New Roman" w:cs="Times New Roman"/>
          <w:szCs w:val="24"/>
        </w:rPr>
      </w:pPr>
      <w:bookmarkStart w:id="9" w:name="art6§2"/>
      <w:bookmarkEnd w:id="9"/>
      <w:r>
        <w:rPr>
          <w:rFonts w:eastAsia="Times New Roman"/>
          <w:szCs w:val="24"/>
        </w:rPr>
        <w:t xml:space="preserve">II - </w:t>
      </w:r>
      <w:r w:rsidR="00AF50A3" w:rsidRPr="00AF50A3">
        <w:rPr>
          <w:rFonts w:eastAsia="Times New Roman"/>
          <w:szCs w:val="24"/>
        </w:rPr>
        <w:t>Sem prejuízo do disposto no </w:t>
      </w:r>
      <w:r w:rsidR="00AF50A3" w:rsidRPr="00AF50A3">
        <w:rPr>
          <w:rFonts w:eastAsia="Times New Roman"/>
          <w:b/>
          <w:bCs/>
          <w:szCs w:val="24"/>
        </w:rPr>
        <w:t>caput</w:t>
      </w:r>
      <w:r w:rsidR="00AF50A3" w:rsidRPr="00AF50A3">
        <w:rPr>
          <w:rFonts w:eastAsia="Times New Roman"/>
          <w:szCs w:val="24"/>
        </w:rPr>
        <w:t> e no § 1</w:t>
      </w:r>
      <w:r w:rsidR="00AF50A3" w:rsidRPr="00AF50A3">
        <w:rPr>
          <w:rFonts w:eastAsia="Times New Roman"/>
          <w:szCs w:val="24"/>
          <w:u w:val="single"/>
          <w:vertAlign w:val="superscript"/>
        </w:rPr>
        <w:t>o</w:t>
      </w:r>
      <w:r w:rsidR="00AF50A3" w:rsidRPr="00AF50A3">
        <w:rPr>
          <w:rFonts w:eastAsia="Times New Roman"/>
          <w:szCs w:val="24"/>
        </w:rPr>
        <w:t> deste artigo, são responsáveis:</w:t>
      </w:r>
    </w:p>
    <w:p w:rsidR="00AF50A3" w:rsidRPr="00547D81" w:rsidRDefault="00AF50A3" w:rsidP="00460F23">
      <w:pPr>
        <w:pStyle w:val="PargrafodaLista"/>
        <w:numPr>
          <w:ilvl w:val="0"/>
          <w:numId w:val="9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547D81">
        <w:rPr>
          <w:rFonts w:eastAsia="Times New Roman"/>
          <w:szCs w:val="24"/>
        </w:rPr>
        <w:lastRenderedPageBreak/>
        <w:t>o tomador ou intermediário de serviço proveniente do exterior do País ou cuja prestação se tenha iniciado no exterior do País;</w:t>
      </w:r>
    </w:p>
    <w:p w:rsidR="00AF50A3" w:rsidRPr="00547D81" w:rsidRDefault="00AF50A3" w:rsidP="00460F23">
      <w:pPr>
        <w:pStyle w:val="PargrafodaLista"/>
        <w:numPr>
          <w:ilvl w:val="0"/>
          <w:numId w:val="9"/>
        </w:num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547D81">
        <w:rPr>
          <w:rFonts w:eastAsia="Times New Roman"/>
          <w:szCs w:val="24"/>
        </w:rPr>
        <w:t>a pessoa jurídica, ainda que imune ou isenta, tomadora ou intermediária dos serviços descritos nos subitens 3.05, 7.02, 7.04, 7.05, 7.09, 7.10, 7.12, 7.14, 7.15, 7.16, 7.17, 7.19, 11.02, 17.05 e 17.10 da lista anexa.</w:t>
      </w:r>
      <w:r w:rsidR="00825808">
        <w:rPr>
          <w:rFonts w:eastAsia="Times New Roman"/>
          <w:szCs w:val="24"/>
        </w:rPr>
        <w:t>”</w:t>
      </w:r>
    </w:p>
    <w:p w:rsidR="00547D81" w:rsidRDefault="00547D81" w:rsidP="00460F23">
      <w:pPr>
        <w:spacing w:after="0" w:line="240" w:lineRule="auto"/>
        <w:ind w:right="0" w:firstLine="274"/>
      </w:pPr>
      <w:r>
        <w:rPr>
          <w:b/>
        </w:rPr>
        <w:t>Art. 1</w:t>
      </w:r>
      <w:r w:rsidR="00F8083A">
        <w:rPr>
          <w:b/>
        </w:rPr>
        <w:t>0</w:t>
      </w:r>
      <w:r>
        <w:rPr>
          <w:b/>
        </w:rPr>
        <w:t xml:space="preserve">° - </w:t>
      </w:r>
      <w:r w:rsidR="00825808">
        <w:t>Os itens da lista de serviços do art. 129 passam a vigorar conforme redação abaixo:</w:t>
      </w:r>
    </w:p>
    <w:p w:rsidR="00825808" w:rsidRDefault="00547D81" w:rsidP="00460F23">
      <w:pPr>
        <w:spacing w:after="0" w:line="240" w:lineRule="auto"/>
        <w:ind w:right="0"/>
        <w:rPr>
          <w:rStyle w:val="apple-converted-space"/>
          <w:szCs w:val="24"/>
        </w:rPr>
      </w:pPr>
      <w:r w:rsidRPr="00825808">
        <w:rPr>
          <w:szCs w:val="24"/>
        </w:rPr>
        <w:t>1.03 - Processamento, armazenamento ou hospedagem de dados, textos, imagens, vídeos, páginas eletrônicas, aplicativos e sistemas de informação, entre outros formatos, e congêneres.</w:t>
      </w:r>
      <w:r w:rsidRPr="00825808">
        <w:rPr>
          <w:rStyle w:val="apple-converted-space"/>
          <w:szCs w:val="24"/>
        </w:rPr>
        <w:t>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1.04 - Elaboração de programas de computadores, inclusive de jogos eletrônicos, independentemente da arquitetura construtiva da máquina em que o programa será executado, incluindo</w:t>
      </w:r>
      <w:r w:rsidRPr="00825808">
        <w:rPr>
          <w:rStyle w:val="apple-converted-space"/>
          <w:szCs w:val="24"/>
        </w:rPr>
        <w:t> </w:t>
      </w:r>
      <w:r w:rsidRPr="00825808">
        <w:rPr>
          <w:bCs/>
          <w:szCs w:val="24"/>
        </w:rPr>
        <w:t>tablets</w:t>
      </w:r>
      <w:r w:rsidRPr="00825808">
        <w:rPr>
          <w:szCs w:val="24"/>
        </w:rPr>
        <w:t>,</w:t>
      </w:r>
      <w:r w:rsidRPr="00825808">
        <w:rPr>
          <w:rStyle w:val="apple-converted-space"/>
          <w:szCs w:val="24"/>
        </w:rPr>
        <w:t> </w:t>
      </w:r>
      <w:r w:rsidRPr="00825808">
        <w:rPr>
          <w:bCs/>
          <w:szCs w:val="24"/>
        </w:rPr>
        <w:t>smartphones</w:t>
      </w:r>
      <w:r w:rsidRPr="00825808">
        <w:rPr>
          <w:rStyle w:val="apple-converted-space"/>
          <w:szCs w:val="24"/>
        </w:rPr>
        <w:t> </w:t>
      </w:r>
      <w:r w:rsidRPr="00825808">
        <w:rPr>
          <w:szCs w:val="24"/>
        </w:rPr>
        <w:t>e congêneres.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 xml:space="preserve">1.09 - Disponibilização, sem cessão definitiva, de </w:t>
      </w:r>
      <w:r w:rsidR="00AE1B27" w:rsidRPr="00825808">
        <w:rPr>
          <w:szCs w:val="24"/>
        </w:rPr>
        <w:t>conteúdo</w:t>
      </w:r>
      <w:r w:rsidRPr="00825808">
        <w:rPr>
          <w:szCs w:val="24"/>
        </w:rPr>
        <w:t xml:space="preserve"> de áudio, vídeo, imagem e texto por meio da internet, respeitada a imunidade de livros, jornais e periódicos (exceto a distribuição de conteúdos pelas prestadoras de Serviço de Acesso Condicionado, de que trata a</w:t>
      </w:r>
      <w:r w:rsidRPr="00825808">
        <w:rPr>
          <w:rStyle w:val="apple-converted-space"/>
          <w:szCs w:val="24"/>
        </w:rPr>
        <w:t> </w:t>
      </w:r>
      <w:r w:rsidRPr="00825808">
        <w:rPr>
          <w:szCs w:val="24"/>
        </w:rPr>
        <w:t>, sujeita ao ICMS).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6.06 - Aplicação de tatuagens,</w:t>
      </w:r>
      <w:r w:rsidRPr="00825808">
        <w:rPr>
          <w:rStyle w:val="apple-converted-space"/>
          <w:szCs w:val="24"/>
        </w:rPr>
        <w:t> </w:t>
      </w:r>
      <w:r w:rsidRPr="00825808">
        <w:rPr>
          <w:bCs/>
          <w:szCs w:val="24"/>
        </w:rPr>
        <w:t>piercings</w:t>
      </w:r>
      <w:r w:rsidRPr="00825808">
        <w:rPr>
          <w:rStyle w:val="apple-converted-space"/>
          <w:i/>
          <w:iCs/>
          <w:szCs w:val="24"/>
        </w:rPr>
        <w:t> </w:t>
      </w:r>
      <w:r w:rsidRPr="00825808">
        <w:rPr>
          <w:szCs w:val="24"/>
        </w:rPr>
        <w:t>e congêneres.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7.16 - Florestamento, reflorestamento, semeadura, adubação, reparação de solo, plantio, silagem, colheita, corte e descascamento de árvores, silvicultura, exploração florestal e dos serviços congêneres indissociáveis da formação, manutenção e colheita de florestas, para quaisquer fins e por quaisquer meios. ;-</w:t>
      </w:r>
    </w:p>
    <w:p w:rsidR="00547D81" w:rsidRPr="00825808" w:rsidRDefault="00547D81" w:rsidP="00460F23">
      <w:pPr>
        <w:pStyle w:val="NormalWeb"/>
        <w:spacing w:before="0" w:beforeAutospacing="0" w:after="0" w:afterAutospacing="0"/>
        <w:rPr>
          <w:color w:val="000000"/>
        </w:rPr>
      </w:pPr>
      <w:r w:rsidRPr="00825808">
        <w:rPr>
          <w:rFonts w:ascii="Arial" w:hAnsi="Arial" w:cs="Arial"/>
          <w:color w:val="000000"/>
        </w:rPr>
        <w:t>11.02 - Vigilância, segurança ou monitoramento de bens, pessoas e semoventes.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13.05 - Composição gráfica, inclusive confecção de impressos gráficos, fotocomposição, clicheria, zincografia, litografia e fotolitografia, exceto se destinados a posterior operação de comercialização ou industrialização, ainda que incorporados, de qualquer forma, a outra mercadoria que deva ser objeto de posterior circulação, tais como bulas, rótulos, etiquetas, caixas, cartuchos, embalagens e manuais técnicos e de instrução, quando ficarão sujeitos ao ICMS.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14.05 - Restauração, recondicionamento, acondicionamento, pintura, beneficiamento, lavagem, secagem, tingimento, galvanoplastia, anodização, corte, recorte, plastificação, costura, acabamento, polimento e congêneres de objetos quaisquer. </w:t>
      </w:r>
      <w:r w:rsidRPr="00825808">
        <w:rPr>
          <w:rStyle w:val="apple-converted-space"/>
          <w:szCs w:val="24"/>
        </w:rPr>
        <w:t>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4.14 - Guincho intramunicipal, guindaste e içamento.</w:t>
      </w:r>
      <w:r w:rsidRPr="00825808">
        <w:rPr>
          <w:rStyle w:val="apple-converted-space"/>
          <w:szCs w:val="24"/>
        </w:rPr>
        <w:t> </w:t>
      </w:r>
    </w:p>
    <w:p w:rsidR="00547D81" w:rsidRPr="00825808" w:rsidRDefault="00547D81" w:rsidP="00460F23">
      <w:pPr>
        <w:spacing w:after="0" w:line="240" w:lineRule="auto"/>
        <w:ind w:left="0" w:right="0" w:firstLine="0"/>
        <w:textAlignment w:val="baseline"/>
        <w:rPr>
          <w:rFonts w:ascii="Times New Roman" w:eastAsia="Times New Roman" w:hAnsi="Times New Roman" w:cs="Times New Roman"/>
          <w:szCs w:val="24"/>
        </w:rPr>
      </w:pPr>
      <w:r w:rsidRPr="00825808">
        <w:rPr>
          <w:rFonts w:eastAsia="Times New Roman"/>
          <w:szCs w:val="24"/>
        </w:rPr>
        <w:t>16.01 - Serviços de transporte coletivo municipal rodoviário, metroviário, ferroviário e aquaviário de passageiros.</w:t>
      </w:r>
    </w:p>
    <w:p w:rsidR="00547D81" w:rsidRPr="00825808" w:rsidRDefault="00547D81" w:rsidP="00460F23">
      <w:pPr>
        <w:spacing w:after="0" w:line="240" w:lineRule="auto"/>
        <w:ind w:right="0"/>
        <w:textAlignment w:val="baseline"/>
        <w:rPr>
          <w:rFonts w:ascii="Times New Roman" w:eastAsia="Times New Roman" w:hAnsi="Times New Roman" w:cs="Times New Roman"/>
          <w:szCs w:val="24"/>
        </w:rPr>
      </w:pPr>
      <w:r w:rsidRPr="00825808">
        <w:rPr>
          <w:rFonts w:eastAsia="Times New Roman"/>
          <w:szCs w:val="24"/>
        </w:rPr>
        <w:t>16.02 - Outros serviços de transporte de natureza municipal.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17.25 - Inserção de textos, desenhos e outros materiais de propaganda e publicidade, em qualquer meio (exceto em livros, jornais, periódicos e nas modalidades de serviços de radiodifusão sonora e de sons e imagens de recepção livre e gratuita).</w:t>
      </w:r>
      <w:r w:rsidRPr="00825808">
        <w:rPr>
          <w:rStyle w:val="apple-converted-space"/>
          <w:szCs w:val="24"/>
        </w:rPr>
        <w:t> </w:t>
      </w:r>
    </w:p>
    <w:p w:rsidR="00547D81" w:rsidRPr="00825808" w:rsidRDefault="00547D81" w:rsidP="00460F23">
      <w:pPr>
        <w:spacing w:after="0" w:line="240" w:lineRule="auto"/>
        <w:ind w:right="0"/>
        <w:rPr>
          <w:szCs w:val="24"/>
        </w:rPr>
      </w:pPr>
      <w:r w:rsidRPr="00825808">
        <w:rPr>
          <w:szCs w:val="24"/>
        </w:rPr>
        <w:t>25.02 - Translado intramunicipal e cremação de corpos e partes de corpos cadavéricos.</w:t>
      </w:r>
    </w:p>
    <w:p w:rsidR="00547D81" w:rsidRPr="00825808" w:rsidRDefault="00547D81" w:rsidP="00460F23">
      <w:pPr>
        <w:spacing w:after="0" w:line="240" w:lineRule="auto"/>
        <w:ind w:right="0"/>
        <w:rPr>
          <w:rFonts w:ascii="Times New Roman" w:eastAsia="Times New Roman" w:hAnsi="Times New Roman" w:cs="Times New Roman"/>
          <w:szCs w:val="24"/>
        </w:rPr>
      </w:pPr>
      <w:r w:rsidRPr="00825808">
        <w:rPr>
          <w:szCs w:val="24"/>
        </w:rPr>
        <w:t>25.05 - Cessão de uso de espaços em cemitérios para sepultamento</w:t>
      </w:r>
    </w:p>
    <w:p w:rsidR="009E434B" w:rsidRDefault="006D147E" w:rsidP="00460F23">
      <w:pPr>
        <w:spacing w:after="0" w:line="240" w:lineRule="auto"/>
        <w:ind w:left="-5" w:right="50" w:firstLine="289"/>
      </w:pPr>
      <w:bookmarkStart w:id="10" w:name="art6§2iii"/>
      <w:bookmarkStart w:id="11" w:name="art7"/>
      <w:bookmarkEnd w:id="10"/>
      <w:bookmarkEnd w:id="11"/>
      <w:r>
        <w:rPr>
          <w:b/>
        </w:rPr>
        <w:t>Art. 1</w:t>
      </w:r>
      <w:r w:rsidR="00F8083A">
        <w:rPr>
          <w:b/>
        </w:rPr>
        <w:t>1</w:t>
      </w:r>
      <w:r>
        <w:rPr>
          <w:b/>
        </w:rPr>
        <w:t xml:space="preserve">° - </w:t>
      </w:r>
      <w:r>
        <w:t xml:space="preserve">Esta lei entra em vigor no exercício seguinte ao de sua publicação, observando os princípios da anterioridade e nonagesimal, revogando-se as disposições em </w:t>
      </w:r>
      <w:r w:rsidR="00AE1B27">
        <w:t>contrário</w:t>
      </w:r>
      <w:r>
        <w:t xml:space="preserve">. </w:t>
      </w:r>
    </w:p>
    <w:p w:rsidR="009E434B" w:rsidRDefault="009E434B" w:rsidP="00460F23">
      <w:pPr>
        <w:spacing w:after="0" w:line="240" w:lineRule="auto"/>
        <w:ind w:left="0" w:right="0" w:firstLine="0"/>
        <w:jc w:val="left"/>
      </w:pPr>
    </w:p>
    <w:p w:rsidR="009E434B" w:rsidRDefault="006D147E" w:rsidP="00460F23">
      <w:pPr>
        <w:spacing w:after="0" w:line="240" w:lineRule="auto"/>
        <w:ind w:left="-5" w:right="50" w:firstLine="289"/>
      </w:pPr>
      <w:r>
        <w:rPr>
          <w:b/>
        </w:rPr>
        <w:t>Art. 1</w:t>
      </w:r>
      <w:r w:rsidR="00F8083A">
        <w:rPr>
          <w:b/>
        </w:rPr>
        <w:t>2</w:t>
      </w:r>
      <w:r w:rsidR="00825808">
        <w:rPr>
          <w:b/>
        </w:rPr>
        <w:t>º</w:t>
      </w:r>
      <w:r>
        <w:rPr>
          <w:b/>
        </w:rPr>
        <w:t xml:space="preserve"> – </w:t>
      </w:r>
      <w:r>
        <w:t xml:space="preserve">Aos casos omissos aplica-se o Código Tributário Municipal. </w:t>
      </w:r>
    </w:p>
    <w:p w:rsidR="009E434B" w:rsidRDefault="00460F23" w:rsidP="00460F23">
      <w:pPr>
        <w:spacing w:after="0" w:line="240" w:lineRule="auto"/>
        <w:jc w:val="center"/>
      </w:pPr>
      <w:r>
        <w:rPr>
          <w:noProof/>
          <w:szCs w:val="24"/>
        </w:rPr>
        <w:drawing>
          <wp:inline distT="0" distB="0" distL="0" distR="0" wp14:anchorId="4CFF65C0" wp14:editId="7CEF4413">
            <wp:extent cx="1914908" cy="923925"/>
            <wp:effectExtent l="0" t="0" r="0" b="0"/>
            <wp:docPr id="2" name="Imagem 2" descr="C:\Users\notsefaplan01\Desktop\assinatura Prefeito Mois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sefaplan01\Desktop\assinatura Prefeito Moisé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61" cy="92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34B" w:rsidSect="00EF57EF">
      <w:headerReference w:type="even" r:id="rId9"/>
      <w:headerReference w:type="default" r:id="rId10"/>
      <w:headerReference w:type="first" r:id="rId11"/>
      <w:pgSz w:w="11905" w:h="16840"/>
      <w:pgMar w:top="1440" w:right="906" w:bottom="426" w:left="1701" w:header="7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60B" w:rsidRDefault="0078560B">
      <w:pPr>
        <w:spacing w:after="0" w:line="240" w:lineRule="auto"/>
      </w:pPr>
      <w:r>
        <w:separator/>
      </w:r>
    </w:p>
  </w:endnote>
  <w:endnote w:type="continuationSeparator" w:id="0">
    <w:p w:rsidR="0078560B" w:rsidRDefault="0078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60B" w:rsidRDefault="0078560B">
      <w:pPr>
        <w:spacing w:after="0" w:line="240" w:lineRule="auto"/>
      </w:pPr>
      <w:r>
        <w:separator/>
      </w:r>
    </w:p>
  </w:footnote>
  <w:footnote w:type="continuationSeparator" w:id="0">
    <w:p w:rsidR="0078560B" w:rsidRDefault="0078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78560B">
    <w:r>
      <w:rPr>
        <w:rFonts w:ascii="Calibri" w:eastAsia="Calibri" w:hAnsi="Calibri" w:cs="Calibri"/>
        <w:noProof/>
        <w:sz w:val="22"/>
      </w:rPr>
      <w:pict>
        <v:group id="Group 14641" o:spid="_x0000_s2053" style="position:absolute;left:0;text-align:left;margin-left:24.75pt;margin-top:26.55pt;width:86.25pt;height:65.7pt;z-index:-251659776;mso-position-horizontal-relative:page;mso-position-vertical-relative:page" coordsize="10953,8343">
          <v:shape id="Picture 14642" o:spid="_x0000_s2054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F9" w:rsidRPr="007F1480" w:rsidRDefault="0078560B" w:rsidP="00B82CF9">
    <w:pPr>
      <w:pStyle w:val="Cabealho"/>
      <w:tabs>
        <w:tab w:val="left" w:pos="2550"/>
        <w:tab w:val="center" w:pos="4677"/>
      </w:tabs>
      <w:jc w:val="center"/>
      <w:rPr>
        <w:rFonts w:ascii="Arial" w:hAnsi="Arial" w:cs="Arial"/>
        <w:b/>
        <w:color w:val="333300"/>
      </w:rPr>
    </w:pPr>
    <w:r>
      <w:rPr>
        <w:rFonts w:ascii="Arial" w:hAnsi="Arial" w:cs="Arial"/>
        <w:noProof/>
        <w:color w:val="3333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14.85pt;margin-top:-12.65pt;width:56.7pt;height:45.55pt;z-index:251660800">
          <v:imagedata r:id="rId1" o:title=""/>
          <w10:wrap type="topAndBottom"/>
        </v:shape>
        <o:OLEObject Type="Embed" ProgID="PBrush" ShapeID="_x0000_s2055" DrawAspect="Content" ObjectID="_1548764274" r:id="rId2"/>
      </w:pict>
    </w:r>
    <w:r w:rsidR="00B82CF9" w:rsidRPr="007F1480">
      <w:rPr>
        <w:rFonts w:ascii="Arial" w:hAnsi="Arial" w:cs="Arial"/>
        <w:b/>
        <w:color w:val="333300"/>
      </w:rPr>
      <w:t>ESTADO DE RONDÔNIA</w:t>
    </w:r>
  </w:p>
  <w:p w:rsidR="00B82CF9" w:rsidRDefault="00B82CF9" w:rsidP="00B82CF9">
    <w:pPr>
      <w:pStyle w:val="Cabealho"/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PREFEITURA MUNICIPAL DE ITAPUÃ DO OESTE</w:t>
    </w:r>
  </w:p>
  <w:p w:rsidR="00547D81" w:rsidRDefault="00B82CF9" w:rsidP="00EF57EF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color w:val="333300"/>
      </w:rPr>
    </w:pPr>
    <w:r w:rsidRPr="007F1480">
      <w:rPr>
        <w:rFonts w:ascii="Arial" w:hAnsi="Arial" w:cs="Arial"/>
        <w:b/>
        <w:color w:val="333300"/>
      </w:rPr>
      <w:t>PODER EXECUTIVO - GABINETE MUNICIPAL</w:t>
    </w:r>
  </w:p>
  <w:p w:rsidR="00EF57EF" w:rsidRPr="00EF57EF" w:rsidRDefault="00EF57EF" w:rsidP="00EF57EF">
    <w:pPr>
      <w:pStyle w:val="Cabealho"/>
      <w:jc w:val="center"/>
      <w:rPr>
        <w:color w:val="333300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D81" w:rsidRDefault="00547D81">
    <w:pPr>
      <w:spacing w:after="0" w:line="259" w:lineRule="auto"/>
      <w:ind w:left="55" w:right="0" w:firstLine="0"/>
      <w:jc w:val="center"/>
    </w:pPr>
    <w:r>
      <w:rPr>
        <w:sz w:val="28"/>
      </w:rPr>
      <w:t xml:space="preserve">ESTADO DE RONDÔNIA </w:t>
    </w:r>
  </w:p>
  <w:p w:rsidR="00547D81" w:rsidRDefault="0078560B">
    <w:r>
      <w:rPr>
        <w:rFonts w:ascii="Calibri" w:eastAsia="Calibri" w:hAnsi="Calibri" w:cs="Calibri"/>
        <w:noProof/>
        <w:sz w:val="22"/>
      </w:rPr>
      <w:pict>
        <v:group id="Group 14623" o:spid="_x0000_s2049" style="position:absolute;left:0;text-align:left;margin-left:24.75pt;margin-top:26.55pt;width:86.25pt;height:65.7pt;z-index:-251657728;mso-position-horizontal-relative:page;mso-position-vertical-relative:page" coordsize="10953,8343">
          <v:shape id="Picture 14624" o:spid="_x0000_s2050" style="position:absolute;width:10953;height:8343" coordsize="10953,8343" o:spt="100" adj="0,,0" path="" filled="f">
            <v:stroke joinstyle="round"/>
            <v:imagedata r:id="rId1" o:title="image0"/>
            <v:formulas/>
            <v:path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6593"/>
    <w:multiLevelType w:val="hybridMultilevel"/>
    <w:tmpl w:val="14148D38"/>
    <w:lvl w:ilvl="0" w:tplc="3202F81E">
      <w:start w:val="1"/>
      <w:numFmt w:val="upperRoman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52A6C2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840E38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84471E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EF3D4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A2156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E9FAA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2C614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E75B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C137D"/>
    <w:multiLevelType w:val="hybridMultilevel"/>
    <w:tmpl w:val="10803FFC"/>
    <w:lvl w:ilvl="0" w:tplc="4D147E8A">
      <w:start w:val="1"/>
      <w:numFmt w:val="upperRoman"/>
      <w:lvlText w:val="%1-"/>
      <w:lvlJc w:val="left"/>
      <w:pPr>
        <w:ind w:left="1245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D87226F"/>
    <w:multiLevelType w:val="hybridMultilevel"/>
    <w:tmpl w:val="A5ECB9DA"/>
    <w:lvl w:ilvl="0" w:tplc="62AE3C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C3E31"/>
    <w:multiLevelType w:val="hybridMultilevel"/>
    <w:tmpl w:val="28629A8A"/>
    <w:lvl w:ilvl="0" w:tplc="1870F13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E9D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E80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235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C29A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0C2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8A7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4FD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61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D3B0959"/>
    <w:multiLevelType w:val="hybridMultilevel"/>
    <w:tmpl w:val="55C02886"/>
    <w:lvl w:ilvl="0" w:tplc="25EE6E7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737F"/>
    <w:multiLevelType w:val="hybridMultilevel"/>
    <w:tmpl w:val="311EC8E2"/>
    <w:lvl w:ilvl="0" w:tplc="372AC0B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C84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D7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4DB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273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7A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8C0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EC01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090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9455A3"/>
    <w:multiLevelType w:val="hybridMultilevel"/>
    <w:tmpl w:val="7682E3EC"/>
    <w:lvl w:ilvl="0" w:tplc="AEE4D832">
      <w:start w:val="1"/>
      <w:numFmt w:val="lowerLetter"/>
      <w:lvlText w:val="%1)"/>
      <w:lvlJc w:val="left"/>
      <w:pPr>
        <w:ind w:left="88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440A6557"/>
    <w:multiLevelType w:val="hybridMultilevel"/>
    <w:tmpl w:val="2794AF0E"/>
    <w:lvl w:ilvl="0" w:tplc="18722378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96ED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AE0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68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DEC7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65C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8BE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E74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563F2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5B0BEB"/>
    <w:multiLevelType w:val="hybridMultilevel"/>
    <w:tmpl w:val="B756EA1E"/>
    <w:lvl w:ilvl="0" w:tplc="2236FDE6">
      <w:start w:val="1"/>
      <w:numFmt w:val="lowerLetter"/>
      <w:lvlText w:val="%1)"/>
      <w:lvlJc w:val="left"/>
      <w:pPr>
        <w:ind w:left="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098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5D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E63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6B8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2CD3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7ED6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340B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9A2A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6A125DA"/>
    <w:multiLevelType w:val="hybridMultilevel"/>
    <w:tmpl w:val="AAF651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A4031"/>
    <w:multiLevelType w:val="hybridMultilevel"/>
    <w:tmpl w:val="C5C82E52"/>
    <w:lvl w:ilvl="0" w:tplc="75F8085E">
      <w:start w:val="1"/>
      <w:numFmt w:val="upperRoman"/>
      <w:lvlText w:val="%1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68D5C">
      <w:start w:val="1"/>
      <w:numFmt w:val="lowerLetter"/>
      <w:lvlText w:val="%2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8F874">
      <w:start w:val="1"/>
      <w:numFmt w:val="lowerRoman"/>
      <w:lvlText w:val="%3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637C6">
      <w:start w:val="1"/>
      <w:numFmt w:val="decimal"/>
      <w:lvlText w:val="%4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56B750">
      <w:start w:val="1"/>
      <w:numFmt w:val="lowerLetter"/>
      <w:lvlText w:val="%5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2BD1E">
      <w:start w:val="1"/>
      <w:numFmt w:val="lowerRoman"/>
      <w:lvlText w:val="%6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76CF82">
      <w:start w:val="1"/>
      <w:numFmt w:val="decimal"/>
      <w:lvlText w:val="%7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0F62E">
      <w:start w:val="1"/>
      <w:numFmt w:val="lowerLetter"/>
      <w:lvlText w:val="%8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4E574">
      <w:start w:val="1"/>
      <w:numFmt w:val="lowerRoman"/>
      <w:lvlText w:val="%9"/>
      <w:lvlJc w:val="left"/>
      <w:pPr>
        <w:ind w:left="6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C943F3"/>
    <w:multiLevelType w:val="hybridMultilevel"/>
    <w:tmpl w:val="E918DE72"/>
    <w:lvl w:ilvl="0" w:tplc="67E89A66">
      <w:start w:val="1"/>
      <w:numFmt w:val="lowerLetter"/>
      <w:lvlText w:val="%1)"/>
      <w:lvlJc w:val="left"/>
      <w:pPr>
        <w:ind w:left="2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E4B7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2A9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8E8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6652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E54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E93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AAC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8C0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6A7BB1"/>
    <w:multiLevelType w:val="hybridMultilevel"/>
    <w:tmpl w:val="F81CFF4E"/>
    <w:lvl w:ilvl="0" w:tplc="0942932E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434B"/>
    <w:rsid w:val="00082673"/>
    <w:rsid w:val="00091A5A"/>
    <w:rsid w:val="000E255F"/>
    <w:rsid w:val="002932D5"/>
    <w:rsid w:val="00343068"/>
    <w:rsid w:val="00395E12"/>
    <w:rsid w:val="00460F23"/>
    <w:rsid w:val="00477E2F"/>
    <w:rsid w:val="00547D81"/>
    <w:rsid w:val="005B0A79"/>
    <w:rsid w:val="00670C7C"/>
    <w:rsid w:val="00677FB4"/>
    <w:rsid w:val="006C7F47"/>
    <w:rsid w:val="006D147E"/>
    <w:rsid w:val="0078560B"/>
    <w:rsid w:val="0080674F"/>
    <w:rsid w:val="00825808"/>
    <w:rsid w:val="008A507A"/>
    <w:rsid w:val="009516BF"/>
    <w:rsid w:val="009E434B"/>
    <w:rsid w:val="00A04367"/>
    <w:rsid w:val="00A448D2"/>
    <w:rsid w:val="00AE1B27"/>
    <w:rsid w:val="00AF50A3"/>
    <w:rsid w:val="00B3606F"/>
    <w:rsid w:val="00B82CF9"/>
    <w:rsid w:val="00E66A47"/>
    <w:rsid w:val="00EB5E4B"/>
    <w:rsid w:val="00EF57EF"/>
    <w:rsid w:val="00F249D7"/>
    <w:rsid w:val="00F8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7C"/>
    <w:pPr>
      <w:spacing w:after="3" w:line="249" w:lineRule="auto"/>
      <w:ind w:left="10" w:right="74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670C7C"/>
    <w:pPr>
      <w:keepNext/>
      <w:keepLines/>
      <w:spacing w:after="3"/>
      <w:ind w:left="10" w:right="5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rsid w:val="00670C7C"/>
    <w:pPr>
      <w:keepNext/>
      <w:keepLines/>
      <w:spacing w:after="0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670C7C"/>
    <w:rPr>
      <w:rFonts w:ascii="Arial" w:eastAsia="Arial" w:hAnsi="Arial" w:cs="Arial"/>
      <w:b/>
      <w:color w:val="000000"/>
      <w:sz w:val="24"/>
    </w:rPr>
  </w:style>
  <w:style w:type="character" w:customStyle="1" w:styleId="Ttulo1Char">
    <w:name w:val="Título 1 Char"/>
    <w:link w:val="Ttulo1"/>
    <w:rsid w:val="00670C7C"/>
    <w:rPr>
      <w:rFonts w:ascii="Times New Roman" w:eastAsia="Times New Roman" w:hAnsi="Times New Roman" w:cs="Times New Roman"/>
      <w:b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E4B"/>
    <w:rPr>
      <w:rFonts w:ascii="Segoe UI" w:eastAsia="Arial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50A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apple-converted-space">
    <w:name w:val="apple-converted-space"/>
    <w:basedOn w:val="Fontepargpadro"/>
    <w:rsid w:val="00AF50A3"/>
  </w:style>
  <w:style w:type="character" w:styleId="Hyperlink">
    <w:name w:val="Hyperlink"/>
    <w:basedOn w:val="Fontepargpadro"/>
    <w:uiPriority w:val="99"/>
    <w:semiHidden/>
    <w:unhideWhenUsed/>
    <w:rsid w:val="00AF50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7D81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E255F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E255F"/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0E255F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E255F"/>
    <w:rPr>
      <w:rFonts w:ascii="Times New Roman" w:eastAsia="Times New Roman" w:hAnsi="Times New Roman" w:cs="Times New Roman"/>
      <w:sz w:val="16"/>
      <w:szCs w:val="16"/>
    </w:rPr>
  </w:style>
  <w:style w:type="character" w:styleId="nfase">
    <w:name w:val="Emphasis"/>
    <w:basedOn w:val="Fontepargpadro"/>
    <w:qFormat/>
    <w:rsid w:val="000E255F"/>
    <w:rPr>
      <w:i/>
      <w:iCs/>
    </w:rPr>
  </w:style>
  <w:style w:type="paragraph" w:styleId="Rodap">
    <w:name w:val="footer"/>
    <w:basedOn w:val="Normal"/>
    <w:link w:val="RodapChar"/>
    <w:uiPriority w:val="99"/>
    <w:semiHidden/>
    <w:unhideWhenUsed/>
    <w:rsid w:val="00B8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F9"/>
    <w:rPr>
      <w:rFonts w:ascii="Arial" w:eastAsia="Arial" w:hAnsi="Arial" w:cs="Arial"/>
      <w:color w:val="000000"/>
      <w:sz w:val="24"/>
    </w:rPr>
  </w:style>
  <w:style w:type="paragraph" w:styleId="Cabealho">
    <w:name w:val="header"/>
    <w:basedOn w:val="Normal"/>
    <w:link w:val="CabealhoChar"/>
    <w:uiPriority w:val="99"/>
    <w:rsid w:val="00B82CF9"/>
    <w:pPr>
      <w:tabs>
        <w:tab w:val="center" w:pos="4419"/>
        <w:tab w:val="right" w:pos="8838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82C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2269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IPTU</vt:lpstr>
    </vt:vector>
  </TitlesOfParts>
  <Company/>
  <LinksUpToDate>false</LinksUpToDate>
  <CharactersWithSpaces>14499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IPTU</dc:title>
  <dc:creator>ADM</dc:creator>
  <cp:lastModifiedBy>Camara</cp:lastModifiedBy>
  <cp:revision>6</cp:revision>
  <cp:lastPrinted>2017-02-16T17:31:00Z</cp:lastPrinted>
  <dcterms:created xsi:type="dcterms:W3CDTF">2017-01-30T17:33:00Z</dcterms:created>
  <dcterms:modified xsi:type="dcterms:W3CDTF">2017-02-16T17:31:00Z</dcterms:modified>
</cp:coreProperties>
</file>